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49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
        <w:gridCol w:w="588"/>
        <w:gridCol w:w="600"/>
        <w:gridCol w:w="600"/>
        <w:gridCol w:w="1443"/>
        <w:gridCol w:w="2003"/>
        <w:gridCol w:w="2162"/>
        <w:gridCol w:w="2162"/>
        <w:gridCol w:w="2162"/>
        <w:gridCol w:w="2150"/>
        <w:tblGridChange w:id="0">
          <w:tblGrid>
            <w:gridCol w:w="621"/>
            <w:gridCol w:w="588"/>
            <w:gridCol w:w="600"/>
            <w:gridCol w:w="600"/>
            <w:gridCol w:w="1443"/>
            <w:gridCol w:w="2003"/>
            <w:gridCol w:w="2162"/>
            <w:gridCol w:w="2162"/>
            <w:gridCol w:w="2162"/>
            <w:gridCol w:w="2150"/>
          </w:tblGrid>
        </w:tblGridChange>
      </w:tblGrid>
      <w:tr>
        <w:trPr>
          <w:cantSplit w:val="0"/>
          <w:trHeight w:val="20" w:hRule="atLeast"/>
          <w:tblHeader w:val="0"/>
        </w:trPr>
        <w:tc>
          <w:tcPr>
            <w:gridSpan w:val="10"/>
          </w:tcPr>
          <w:p w:rsidR="00000000" w:rsidDel="00000000" w:rsidP="00000000" w:rsidRDefault="00000000" w:rsidRPr="00000000" w14:paraId="00000002">
            <w:pPr>
              <w:widowControl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Unit Plan Rubric </w:t>
            </w:r>
          </w:p>
          <w:p w:rsidR="00000000" w:rsidDel="00000000" w:rsidP="00000000" w:rsidRDefault="00000000" w:rsidRPr="00000000" w14:paraId="000000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Used to Assess LWC Teacher Candidate Unit Plans</w:t>
            </w:r>
          </w:p>
          <w:p w:rsidR="00000000" w:rsidDel="00000000" w:rsidP="00000000" w:rsidRDefault="00000000" w:rsidRPr="00000000" w14:paraId="00000004">
            <w:pPr>
              <w:jc w:val="center"/>
              <w:rPr>
                <w:b w:val="1"/>
                <w:sz w:val="22"/>
                <w:szCs w:val="22"/>
              </w:rPr>
            </w:pPr>
            <w:r w:rsidDel="00000000" w:rsidR="00000000" w:rsidRPr="00000000">
              <w:rPr>
                <w:rFonts w:ascii="Times New Roman" w:cs="Times New Roman" w:eastAsia="Times New Roman" w:hAnsi="Times New Roman"/>
                <w:b w:val="1"/>
                <w:sz w:val="20"/>
                <w:szCs w:val="20"/>
                <w:rtl w:val="0"/>
              </w:rPr>
              <w:t xml:space="preserve"> Professional Preparation Methods Courses, and Student Teaching</w:t>
            </w:r>
            <w:r w:rsidDel="00000000" w:rsidR="00000000" w:rsidRPr="00000000">
              <w:rPr>
                <w:rtl w:val="0"/>
              </w:rPr>
            </w:r>
          </w:p>
        </w:tc>
      </w:tr>
      <w:tr>
        <w:trPr>
          <w:cantSplit w:val="0"/>
          <w:trHeight w:val="1162" w:hRule="atLeast"/>
          <w:tblHeader w:val="0"/>
        </w:trPr>
        <w:tc>
          <w:tcPr>
            <w:gridSpan w:val="10"/>
            <w:shd w:fill="fbd5b5" w:val="clear"/>
          </w:tcPr>
          <w:p w:rsidR="00000000" w:rsidDel="00000000" w:rsidP="00000000" w:rsidRDefault="00000000" w:rsidRPr="00000000" w14:paraId="0000000E">
            <w:pPr>
              <w:rPr>
                <w:rFonts w:ascii="Times New Roman" w:cs="Times New Roman" w:eastAsia="Times New Roman" w:hAnsi="Times New Roman"/>
                <w:b w:val="1"/>
                <w:sz w:val="22"/>
                <w:szCs w:val="22"/>
              </w:rPr>
            </w:pPr>
            <w:bookmarkStart w:colFirst="0" w:colLast="0" w:name="_gjdgxs" w:id="0"/>
            <w:bookmarkEnd w:id="0"/>
            <w:r w:rsidDel="00000000" w:rsidR="00000000" w:rsidRPr="00000000">
              <w:rPr>
                <w:rFonts w:ascii="Times New Roman" w:cs="Times New Roman" w:eastAsia="Times New Roman" w:hAnsi="Times New Roman"/>
                <w:b w:val="1"/>
                <w:sz w:val="22"/>
                <w:szCs w:val="22"/>
                <w:rtl w:val="0"/>
              </w:rPr>
              <w:t xml:space="preserve">Instructions: This rubric aligns with the EPP Unit Plan For Stage 2 &amp; 3</w:t>
            </w:r>
          </w:p>
          <w:p w:rsidR="00000000" w:rsidDel="00000000" w:rsidP="00000000" w:rsidRDefault="00000000" w:rsidRPr="00000000" w14:paraId="0000000F">
            <w:pPr>
              <w:rPr>
                <w:rFonts w:ascii="Times New Roman" w:cs="Times New Roman" w:eastAsia="Times New Roman" w:hAnsi="Times New Roman"/>
                <w:sz w:val="22"/>
                <w:szCs w:val="22"/>
              </w:rPr>
            </w:pPr>
            <w:bookmarkStart w:colFirst="0" w:colLast="0" w:name="_30j0zll" w:id="1"/>
            <w:bookmarkEnd w:id="1"/>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u w:val="single"/>
                <w:rtl w:val="0"/>
              </w:rPr>
              <w:t xml:space="preserve">Faculty/instructors must</w:t>
            </w:r>
            <w:r w:rsidDel="00000000" w:rsidR="00000000" w:rsidRPr="00000000">
              <w:rPr>
                <w:rFonts w:ascii="Times New Roman" w:cs="Times New Roman" w:eastAsia="Times New Roman" w:hAnsi="Times New Roman"/>
                <w:sz w:val="22"/>
                <w:szCs w:val="22"/>
                <w:rtl w:val="0"/>
              </w:rPr>
              <w:t xml:space="preserve"> use the indicators and critical attributes listed below to assess units across EPP programs. </w:t>
            </w:r>
          </w:p>
          <w:p w:rsidR="00000000" w:rsidDel="00000000" w:rsidP="00000000" w:rsidRDefault="00000000" w:rsidRPr="00000000" w14:paraId="00000010">
            <w:pPr>
              <w:rPr>
                <w:rFonts w:ascii="Times New Roman" w:cs="Times New Roman" w:eastAsia="Times New Roman" w:hAnsi="Times New Roman"/>
                <w:sz w:val="22"/>
                <w:szCs w:val="22"/>
              </w:rPr>
            </w:pPr>
            <w:bookmarkStart w:colFirst="0" w:colLast="0" w:name="_1fob9te" w:id="2"/>
            <w:bookmarkEnd w:id="2"/>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u w:val="single"/>
                <w:rtl w:val="0"/>
              </w:rPr>
              <w:t xml:space="preserve">Students should</w:t>
            </w:r>
            <w:r w:rsidDel="00000000" w:rsidR="00000000" w:rsidRPr="00000000">
              <w:rPr>
                <w:rFonts w:ascii="Times New Roman" w:cs="Times New Roman" w:eastAsia="Times New Roman" w:hAnsi="Times New Roman"/>
                <w:sz w:val="22"/>
                <w:szCs w:val="22"/>
                <w:rtl w:val="0"/>
              </w:rPr>
              <w:t xml:space="preserve"> use the rubric to ensure that their unit plans meet or exceed expectations for each stage.</w:t>
            </w:r>
          </w:p>
          <w:p w:rsidR="00000000" w:rsidDel="00000000" w:rsidP="00000000" w:rsidRDefault="00000000" w:rsidRPr="00000000" w14:paraId="0000001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Score needed: Stage 2 &amp; 3: Target (3) on all indicators</w:t>
            </w:r>
          </w:p>
        </w:tc>
      </w:tr>
      <w:tr>
        <w:trPr>
          <w:cantSplit w:val="0"/>
          <w:trHeight w:val="1997" w:hRule="atLeast"/>
          <w:tblHeader w:val="0"/>
        </w:trPr>
        <w:tc>
          <w:tcPr/>
          <w:p w:rsidR="00000000" w:rsidDel="00000000" w:rsidP="00000000" w:rsidRDefault="00000000" w:rsidRPr="00000000" w14:paraId="0000001B">
            <w:pPr>
              <w:ind w:left="113" w:right="113" w:firstLine="0"/>
              <w:jc w:val="center"/>
              <w:rPr>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367030" cy="1038225"/>
                      <wp:effectExtent b="0" l="0" r="0" t="0"/>
                      <wp:wrapTopAndBottom distB="0" distT="0"/>
                      <wp:docPr id="4" name=""/>
                      <a:graphic>
                        <a:graphicData uri="http://schemas.microsoft.com/office/word/2010/wordprocessingShape">
                          <wps:wsp>
                            <wps:cNvSpPr/>
                            <wps:cNvPr id="5" name="Shape 5"/>
                            <wps:spPr>
                              <a:xfrm rot="-5398997">
                                <a:off x="4831650" y="3601248"/>
                                <a:ext cx="1028700" cy="35750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CAEP</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367030" cy="1038225"/>
                      <wp:effectExtent b="0" l="0" r="0" t="0"/>
                      <wp:wrapTopAndBottom distB="0" dist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67030" cy="1038225"/>
                              </a:xfrm>
                              <a:prstGeom prst="rect"/>
                              <a:ln/>
                            </pic:spPr>
                          </pic:pic>
                        </a:graphicData>
                      </a:graphic>
                    </wp:anchor>
                  </w:drawing>
                </mc:Fallback>
              </mc:AlternateContent>
            </w:r>
          </w:p>
        </w:tc>
        <w:tc>
          <w:tcPr/>
          <w:p w:rsidR="00000000" w:rsidDel="00000000" w:rsidP="00000000" w:rsidRDefault="00000000" w:rsidRPr="00000000" w14:paraId="0000001C">
            <w:pPr>
              <w:ind w:right="113"/>
              <w:rPr>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367030" cy="1305560"/>
                      <wp:effectExtent b="0" l="0" r="0" t="0"/>
                      <wp:wrapTopAndBottom distB="0" distT="0"/>
                      <wp:docPr id="2" name=""/>
                      <a:graphic>
                        <a:graphicData uri="http://schemas.microsoft.com/office/word/2010/wordprocessingShape">
                          <wps:wsp>
                            <wps:cNvSpPr/>
                            <wps:cNvPr id="3" name="Shape 3"/>
                            <wps:spPr>
                              <a:xfrm rot="-5399352">
                                <a:off x="4697983" y="3601248"/>
                                <a:ext cx="1296035" cy="35750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KTPS (InTASC)</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367030" cy="130556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67030" cy="1305560"/>
                              </a:xfrm>
                              <a:prstGeom prst="rect"/>
                              <a:ln/>
                            </pic:spPr>
                          </pic:pic>
                        </a:graphicData>
                      </a:graphic>
                    </wp:anchor>
                  </w:drawing>
                </mc:Fallback>
              </mc:AlternateContent>
            </w:r>
          </w:p>
        </w:tc>
        <w:tc>
          <w:tcPr/>
          <w:p w:rsidR="00000000" w:rsidDel="00000000" w:rsidP="00000000" w:rsidRDefault="00000000" w:rsidRPr="00000000" w14:paraId="0000001D">
            <w:pPr>
              <w:pStyle w:val="Subtitle"/>
              <w:ind w:left="113" w:right="113" w:firstLine="0"/>
              <w:jc w:val="center"/>
              <w:rPr>
                <w:rFonts w:ascii="Times New Roman" w:cs="Times New Roman" w:eastAsia="Times New Roman" w:hAnsi="Times New Roman"/>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367029" cy="1209675"/>
                      <wp:effectExtent b="0" l="0" r="0" t="0"/>
                      <wp:wrapTopAndBottom distB="0" distT="0"/>
                      <wp:docPr id="3" name=""/>
                      <a:graphic>
                        <a:graphicData uri="http://schemas.microsoft.com/office/word/2010/wordprocessingShape">
                          <wps:wsp>
                            <wps:cNvSpPr/>
                            <wps:cNvPr id="4" name="Shape 4"/>
                            <wps:spPr>
                              <a:xfrm rot="-5399352">
                                <a:off x="4745925" y="3601248"/>
                                <a:ext cx="1200150" cy="35750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Danielson’s</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367029" cy="1209675"/>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67029" cy="1209675"/>
                              </a:xfrm>
                              <a:prstGeom prst="rect"/>
                              <a:ln/>
                            </pic:spPr>
                          </pic:pic>
                        </a:graphicData>
                      </a:graphic>
                    </wp:anchor>
                  </w:drawing>
                </mc:Fallback>
              </mc:AlternateContent>
            </w:r>
          </w:p>
        </w:tc>
        <w:tc>
          <w:tcPr/>
          <w:p w:rsidR="00000000" w:rsidDel="00000000" w:rsidP="00000000" w:rsidRDefault="00000000" w:rsidRPr="00000000" w14:paraId="0000001E">
            <w:pPr>
              <w:ind w:right="113"/>
              <w:rPr>
                <w:rFonts w:ascii="Times New Roman" w:cs="Times New Roman" w:eastAsia="Times New Roman" w:hAnsi="Times New Roman"/>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328929" cy="1304290"/>
                      <wp:effectExtent b="0" l="0" r="0" t="0"/>
                      <wp:wrapTopAndBottom distB="0" distT="0"/>
                      <wp:docPr id="1" name=""/>
                      <a:graphic>
                        <a:graphicData uri="http://schemas.microsoft.com/office/word/2010/wordprocessingShape">
                          <wps:wsp>
                            <wps:cNvSpPr/>
                            <wps:cNvPr id="2" name="Shape 2"/>
                            <wps:spPr>
                              <a:xfrm rot="-5400000">
                                <a:off x="4698618" y="3620298"/>
                                <a:ext cx="1294765" cy="31940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Tech &amp; Diversity</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328929" cy="130429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28929" cy="1304290"/>
                              </a:xfrm>
                              <a:prstGeom prst="rect"/>
                              <a:ln/>
                            </pic:spPr>
                          </pic:pic>
                        </a:graphicData>
                      </a:graphic>
                    </wp:anchor>
                  </w:drawing>
                </mc:Fallback>
              </mc:AlternateContent>
            </w:r>
          </w:p>
        </w:tc>
        <w:tc>
          <w:tcPr/>
          <w:p w:rsidR="00000000" w:rsidDel="00000000" w:rsidP="00000000" w:rsidRDefault="00000000" w:rsidRPr="00000000" w14:paraId="0000001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Indicators</w:t>
            </w:r>
          </w:p>
        </w:tc>
        <w:tc>
          <w:tcPr/>
          <w:p w:rsidR="00000000" w:rsidDel="00000000" w:rsidP="00000000" w:rsidRDefault="00000000" w:rsidRPr="00000000" w14:paraId="0000002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Critical Attributes</w:t>
            </w:r>
          </w:p>
          <w:p w:rsidR="00000000" w:rsidDel="00000000" w:rsidP="00000000" w:rsidRDefault="00000000" w:rsidRPr="00000000" w14:paraId="0000002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 defined by KTPS/KAS/CAEP standards</w:t>
            </w:r>
          </w:p>
        </w:tc>
        <w:tc>
          <w:tcPr/>
          <w:p w:rsidR="00000000" w:rsidDel="00000000" w:rsidP="00000000" w:rsidRDefault="00000000" w:rsidRPr="00000000" w14:paraId="0000002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Above Target</w:t>
            </w:r>
          </w:p>
          <w:p w:rsidR="00000000" w:rsidDel="00000000" w:rsidP="00000000" w:rsidRDefault="00000000" w:rsidRPr="00000000" w14:paraId="0000002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p w:rsidR="00000000" w:rsidDel="00000000" w:rsidP="00000000" w:rsidRDefault="00000000" w:rsidRPr="00000000" w14:paraId="0000002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02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Target</w:t>
            </w:r>
          </w:p>
          <w:p w:rsidR="00000000" w:rsidDel="00000000" w:rsidP="00000000" w:rsidRDefault="00000000" w:rsidRPr="00000000" w14:paraId="0000002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p w:rsidR="00000000" w:rsidDel="00000000" w:rsidP="00000000" w:rsidRDefault="00000000" w:rsidRPr="00000000" w14:paraId="0000002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Acceptable</w:t>
            </w:r>
          </w:p>
          <w:p w:rsidR="00000000" w:rsidDel="00000000" w:rsidP="00000000" w:rsidRDefault="00000000" w:rsidRPr="00000000" w14:paraId="0000002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p w:rsidR="00000000" w:rsidDel="00000000" w:rsidP="00000000" w:rsidRDefault="00000000" w:rsidRPr="00000000" w14:paraId="0000002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Unacceptable</w:t>
            </w:r>
          </w:p>
          <w:p w:rsidR="00000000" w:rsidDel="00000000" w:rsidP="00000000" w:rsidRDefault="00000000" w:rsidRPr="00000000" w14:paraId="0000002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r>
      <w:tr>
        <w:trPr>
          <w:cantSplit w:val="0"/>
          <w:trHeight w:val="2332" w:hRule="atLeast"/>
          <w:tblHeader w:val="0"/>
        </w:trPr>
        <w:tc>
          <w:tcPr/>
          <w:p w:rsidR="00000000" w:rsidDel="00000000" w:rsidP="00000000" w:rsidRDefault="00000000" w:rsidRPr="00000000" w14:paraId="0000002F">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1.1.</w:t>
            </w:r>
          </w:p>
          <w:p w:rsidR="00000000" w:rsidDel="00000000" w:rsidP="00000000" w:rsidRDefault="00000000" w:rsidRPr="00000000" w14:paraId="00000030">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1.2</w:t>
            </w:r>
          </w:p>
          <w:p w:rsidR="00000000" w:rsidDel="00000000" w:rsidP="00000000" w:rsidRDefault="00000000" w:rsidRPr="00000000" w14:paraId="00000031">
            <w:pPr>
              <w:rPr>
                <w:rFonts w:ascii="Times New Roman" w:cs="Times New Roman" w:eastAsia="Times New Roman" w:hAnsi="Times New Roman"/>
                <w:sz w:val="19"/>
                <w:szCs w:val="19"/>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w:t>
            </w:r>
          </w:p>
        </w:tc>
        <w:tc>
          <w:tcPr/>
          <w:p w:rsidR="00000000" w:rsidDel="00000000" w:rsidP="00000000" w:rsidRDefault="00000000" w:rsidRPr="00000000" w14:paraId="00000033">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w:t>
            </w:r>
          </w:p>
        </w:tc>
        <w:tc>
          <w:tcPr/>
          <w:p w:rsidR="00000000" w:rsidDel="00000000" w:rsidP="00000000" w:rsidRDefault="00000000" w:rsidRPr="00000000" w14:paraId="00000034">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w:t>
            </w:r>
          </w:p>
        </w:tc>
        <w:tc>
          <w:tcPr/>
          <w:p w:rsidR="00000000" w:rsidDel="00000000" w:rsidP="00000000" w:rsidRDefault="00000000" w:rsidRPr="00000000" w14:paraId="00000035">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Unit Objectives/ Learning Targets </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*Standards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*Learning target/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objectives for unit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*Essential Questions</w:t>
            </w:r>
          </w:p>
          <w:p w:rsidR="00000000" w:rsidDel="00000000" w:rsidP="00000000" w:rsidRDefault="00000000" w:rsidRPr="00000000" w14:paraId="0000003A">
            <w:pPr>
              <w:rPr>
                <w:rFonts w:ascii="Times New Roman" w:cs="Times New Roman" w:eastAsia="Times New Roman" w:hAnsi="Times New Roman"/>
                <w:sz w:val="19"/>
                <w:szCs w:val="19"/>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Correct standards/ objectives/ essential questions listed and aligned with the correctly identified Kentucky Academic Standards and demonstrates a deep knowledge of the connection (thread) that ties one to another.</w:t>
            </w:r>
          </w:p>
        </w:tc>
        <w:tc>
          <w:tcPr/>
          <w:p w:rsidR="00000000" w:rsidDel="00000000" w:rsidP="00000000" w:rsidRDefault="00000000" w:rsidRPr="00000000" w14:paraId="0000003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Correct standards/ objectives/ essential questions listed and align with the correctly identified Kentucky Academic Standards.</w:t>
            </w: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Correct standards/ objectives/ essential questions listed. </w:t>
            </w:r>
          </w:p>
          <w:p w:rsidR="00000000" w:rsidDel="00000000" w:rsidP="00000000" w:rsidRDefault="00000000" w:rsidRPr="00000000" w14:paraId="0000003E">
            <w:pPr>
              <w:rPr>
                <w:rFonts w:ascii="Times New Roman" w:cs="Times New Roman" w:eastAsia="Times New Roman" w:hAnsi="Times New Roman"/>
                <w:sz w:val="19"/>
                <w:szCs w:val="19"/>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No/incorrect standards listed.</w:t>
            </w:r>
          </w:p>
          <w:p w:rsidR="00000000" w:rsidDel="00000000" w:rsidP="00000000" w:rsidRDefault="00000000" w:rsidRPr="00000000" w14:paraId="0000004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does not demonstrate sufficient understanding of the critical attributes circled on the left.</w:t>
            </w:r>
          </w:p>
          <w:p w:rsidR="00000000" w:rsidDel="00000000" w:rsidP="00000000" w:rsidRDefault="00000000" w:rsidRPr="00000000" w14:paraId="00000042">
            <w:pPr>
              <w:rPr>
                <w:rFonts w:ascii="Times New Roman" w:cs="Times New Roman" w:eastAsia="Times New Roman" w:hAnsi="Times New Roman"/>
                <w:sz w:val="19"/>
                <w:szCs w:val="19"/>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43">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1.1</w:t>
            </w:r>
          </w:p>
          <w:p w:rsidR="00000000" w:rsidDel="00000000" w:rsidP="00000000" w:rsidRDefault="00000000" w:rsidRPr="00000000" w14:paraId="00000044">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45">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1-8</w:t>
            </w:r>
          </w:p>
        </w:tc>
        <w:tc>
          <w:tcPr/>
          <w:p w:rsidR="00000000" w:rsidDel="00000000" w:rsidP="00000000" w:rsidRDefault="00000000" w:rsidRPr="00000000" w14:paraId="00000046">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47">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T/D</w:t>
            </w:r>
          </w:p>
        </w:tc>
        <w:tc>
          <w:tcPr/>
          <w:p w:rsidR="00000000" w:rsidDel="00000000" w:rsidP="00000000" w:rsidRDefault="00000000" w:rsidRPr="00000000" w14:paraId="0000004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Unit Contextual Data Sheet and Teaching and Learning Statement</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*Class description data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*Diversity data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*Physical features of classroom</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*Availability of technology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*Scheduling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characteristics: age, gender, race, ethnicity, special needs</w:t>
            </w:r>
          </w:p>
          <w:p w:rsidR="00000000" w:rsidDel="00000000" w:rsidP="00000000" w:rsidRDefault="00000000" w:rsidRPr="00000000" w14:paraId="0000004F">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*Factors impacting planning and implementation of instruction </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provided with detailed identifiers.</w:t>
            </w:r>
          </w:p>
          <w:p w:rsidR="00000000" w:rsidDel="00000000" w:rsidP="00000000" w:rsidRDefault="00000000" w:rsidRPr="00000000" w14:paraId="0000005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applies a comprehensive and in-deep understanding of each attribute identified.</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identified.</w:t>
            </w:r>
          </w:p>
          <w:p w:rsidR="00000000" w:rsidDel="00000000" w:rsidP="00000000" w:rsidRDefault="00000000" w:rsidRPr="00000000" w14:paraId="0000005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applies proficient understanding of each attribute identified.</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Most critical attributes are identified.</w:t>
            </w:r>
          </w:p>
          <w:p w:rsidR="00000000" w:rsidDel="00000000" w:rsidP="00000000" w:rsidRDefault="00000000" w:rsidRPr="00000000" w14:paraId="0000005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applies limited understanding of each of the attributes identified.</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missing/Incorrect.</w:t>
            </w:r>
          </w:p>
          <w:p w:rsidR="00000000" w:rsidDel="00000000" w:rsidP="00000000" w:rsidRDefault="00000000" w:rsidRPr="00000000" w14:paraId="0000005A">
            <w:pPr>
              <w:spacing w:after="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does not </w:t>
            </w:r>
          </w:p>
          <w:p w:rsidR="00000000" w:rsidDel="00000000" w:rsidP="00000000" w:rsidRDefault="00000000" w:rsidRPr="00000000" w14:paraId="0000005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demonstrate sufficient understanding of the critical attributes circled on the left.</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5D">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1.2</w:t>
            </w:r>
          </w:p>
        </w:tc>
        <w:tc>
          <w:tcPr/>
          <w:p w:rsidR="00000000" w:rsidDel="00000000" w:rsidP="00000000" w:rsidRDefault="00000000" w:rsidRPr="00000000" w14:paraId="0000005E">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4,6</w:t>
            </w:r>
          </w:p>
        </w:tc>
        <w:tc>
          <w:tcPr/>
          <w:p w:rsidR="00000000" w:rsidDel="00000000" w:rsidP="00000000" w:rsidRDefault="00000000" w:rsidRPr="00000000" w14:paraId="0000005F">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60">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T/D</w:t>
            </w:r>
          </w:p>
        </w:tc>
        <w:tc>
          <w:tcPr/>
          <w:p w:rsidR="00000000" w:rsidDel="00000000" w:rsidP="00000000" w:rsidRDefault="00000000" w:rsidRPr="00000000" w14:paraId="0000006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Unit Assessments: Pre &amp; Post with Answer Key</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*Aligns with unit objectives/learning targets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*Measures unit objectives/learning targets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*Contains a variety of levels of Bloom’s/DOK/HOT questions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*Questions are written appropriately for the grade, purpose and content being tested.</w:t>
            </w:r>
          </w:p>
          <w:p w:rsidR="00000000" w:rsidDel="00000000" w:rsidP="00000000" w:rsidRDefault="00000000" w:rsidRPr="00000000" w14:paraId="00000066">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*Length of assessment is appropriate for grade level, purpose, and content being assessed.</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listed and fully developed.</w:t>
            </w:r>
          </w:p>
          <w:p w:rsidR="00000000" w:rsidDel="00000000" w:rsidP="00000000" w:rsidRDefault="00000000" w:rsidRPr="00000000" w14:paraId="0000006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applies a complete and deep understanding of each attribute and alignment to the standards.</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listed and fully developed.</w:t>
            </w:r>
          </w:p>
          <w:p w:rsidR="00000000" w:rsidDel="00000000" w:rsidP="00000000" w:rsidRDefault="00000000" w:rsidRPr="00000000" w14:paraId="0000006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applies proficient understanding of each attribute and alignment to the standards.</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listed but not fully developed.</w:t>
            </w:r>
          </w:p>
          <w:p w:rsidR="00000000" w:rsidDel="00000000" w:rsidP="00000000" w:rsidRDefault="00000000" w:rsidRPr="00000000" w14:paraId="0000006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applies limited understanding of attributes.</w:t>
            </w: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missing/incorrect.</w:t>
            </w:r>
          </w:p>
          <w:p w:rsidR="00000000" w:rsidDel="00000000" w:rsidP="00000000" w:rsidRDefault="00000000" w:rsidRPr="00000000" w14:paraId="00000071">
            <w:pPr>
              <w:spacing w:after="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does not demonstrate sufficient understanding of the critical attributes circled on the left.</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73">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1.1</w:t>
            </w:r>
          </w:p>
          <w:p w:rsidR="00000000" w:rsidDel="00000000" w:rsidP="00000000" w:rsidRDefault="00000000" w:rsidRPr="00000000" w14:paraId="00000074">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1.2 1.3</w:t>
            </w:r>
          </w:p>
        </w:tc>
        <w:tc>
          <w:tcPr/>
          <w:p w:rsidR="00000000" w:rsidDel="00000000" w:rsidP="00000000" w:rsidRDefault="00000000" w:rsidRPr="00000000" w14:paraId="00000075">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1-8</w:t>
            </w:r>
          </w:p>
        </w:tc>
        <w:tc>
          <w:tcPr/>
          <w:p w:rsidR="00000000" w:rsidDel="00000000" w:rsidP="00000000" w:rsidRDefault="00000000" w:rsidRPr="00000000" w14:paraId="00000076">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1-4</w:t>
            </w:r>
          </w:p>
        </w:tc>
        <w:tc>
          <w:tcPr/>
          <w:p w:rsidR="00000000" w:rsidDel="00000000" w:rsidP="00000000" w:rsidRDefault="00000000" w:rsidRPr="00000000" w14:paraId="00000077">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T/D</w:t>
            </w:r>
          </w:p>
        </w:tc>
        <w:tc>
          <w:tcPr/>
          <w:p w:rsidR="00000000" w:rsidDel="00000000" w:rsidP="00000000" w:rsidRDefault="00000000" w:rsidRPr="00000000" w14:paraId="0000007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Lesson </w:t>
            </w:r>
          </w:p>
          <w:p w:rsidR="00000000" w:rsidDel="00000000" w:rsidP="00000000" w:rsidRDefault="00000000" w:rsidRPr="00000000" w14:paraId="0000007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Plans  </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*Lesson Context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*Standards/objectives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*Learning targets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*Concept/skill review</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*Concept/skill preview</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Instructional strategies/learning activities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Review of Student Learning</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Lesson extensions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*Attached materials used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*Higher Order/Critical thinking questions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century skills/CCRS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*Differentiated strategies/activities (IEP, ELL, Gifted: with or without SET)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*Media/Tech</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*Formative assessment/accommodations</w:t>
            </w:r>
          </w:p>
          <w:p w:rsidR="00000000" w:rsidDel="00000000" w:rsidP="00000000" w:rsidRDefault="00000000" w:rsidRPr="00000000" w14:paraId="00000088">
            <w:pPr>
              <w:rPr>
                <w:rFonts w:ascii="Times New Roman" w:cs="Times New Roman" w:eastAsia="Times New Roman" w:hAnsi="Times New Roman"/>
                <w:sz w:val="19"/>
                <w:szCs w:val="19"/>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Detailed description of critical attributes displayed. </w:t>
            </w:r>
          </w:p>
          <w:p w:rsidR="00000000" w:rsidDel="00000000" w:rsidP="00000000" w:rsidRDefault="00000000" w:rsidRPr="00000000" w14:paraId="0000008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creates plans that demonstrate deep understanding of each attribute, including high leverage practices.</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All critical attributes are provided.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creates plans that demonstrate clear understanding of each attribute, including high leverage practices. </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Most or all critical attributes are provided. </w:t>
            </w:r>
          </w:p>
          <w:p w:rsidR="00000000" w:rsidDel="00000000" w:rsidP="00000000" w:rsidRDefault="00000000" w:rsidRPr="00000000" w14:paraId="0000009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creates plans that demonstrate limited understanding of each attribute with minimal depth/ development/ or high leverage practices. </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Critical attributes are missing/ limited (minimal description).</w:t>
            </w:r>
          </w:p>
          <w:p w:rsidR="00000000" w:rsidDel="00000000" w:rsidP="00000000" w:rsidRDefault="00000000" w:rsidRPr="00000000" w14:paraId="00000093">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does not demonstrate sufficient understanding of the critical attributes circled on the left. </w:t>
            </w:r>
            <w:r w:rsidDel="00000000" w:rsidR="00000000" w:rsidRPr="00000000">
              <w:rPr>
                <w:rtl w:val="0"/>
              </w:rPr>
            </w:r>
          </w:p>
        </w:tc>
      </w:tr>
      <w:tr>
        <w:trPr>
          <w:cantSplit w:val="0"/>
          <w:trHeight w:val="1619" w:hRule="atLeast"/>
          <w:tblHeader w:val="0"/>
        </w:trPr>
        <w:tc>
          <w:tcPr/>
          <w:p w:rsidR="00000000" w:rsidDel="00000000" w:rsidP="00000000" w:rsidRDefault="00000000" w:rsidRPr="00000000" w14:paraId="00000095">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1.1</w:t>
            </w:r>
          </w:p>
          <w:p w:rsidR="00000000" w:rsidDel="00000000" w:rsidP="00000000" w:rsidRDefault="00000000" w:rsidRPr="00000000" w14:paraId="00000096">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97">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1-8</w:t>
            </w:r>
          </w:p>
        </w:tc>
        <w:tc>
          <w:tcPr/>
          <w:p w:rsidR="00000000" w:rsidDel="00000000" w:rsidP="00000000" w:rsidRDefault="00000000" w:rsidRPr="00000000" w14:paraId="00000098">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99">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w:t>
            </w:r>
          </w:p>
        </w:tc>
        <w:tc>
          <w:tcPr/>
          <w:p w:rsidR="00000000" w:rsidDel="00000000" w:rsidP="00000000" w:rsidRDefault="00000000" w:rsidRPr="00000000" w14:paraId="0000009A">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Technology</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*Teacher use of technology</w:t>
            </w:r>
          </w:p>
          <w:p w:rsidR="00000000" w:rsidDel="00000000" w:rsidP="00000000" w:rsidRDefault="00000000" w:rsidRPr="00000000" w14:paraId="0000009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use of technology</w:t>
            </w: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Teacher </w:t>
            </w:r>
            <w:r w:rsidDel="00000000" w:rsidR="00000000" w:rsidRPr="00000000">
              <w:rPr>
                <w:rFonts w:ascii="Times New Roman" w:cs="Times New Roman" w:eastAsia="Times New Roman" w:hAnsi="Times New Roman"/>
                <w:b w:val="1"/>
                <w:i w:val="0"/>
                <w:smallCaps w:val="0"/>
                <w:strike w:val="0"/>
                <w:color w:val="000000"/>
                <w:sz w:val="19"/>
                <w:szCs w:val="19"/>
                <w:u w:val="singl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technology are current, integrated throughout the unit, and appropriate /beneficial for unit, age, grade, and content.</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Teacher </w:t>
            </w:r>
            <w:r w:rsidDel="00000000" w:rsidR="00000000" w:rsidRPr="00000000">
              <w:rPr>
                <w:rFonts w:ascii="Times New Roman" w:cs="Times New Roman" w:eastAsia="Times New Roman" w:hAnsi="Times New Roman"/>
                <w:b w:val="1"/>
                <w:i w:val="0"/>
                <w:smallCaps w:val="0"/>
                <w:strike w:val="0"/>
                <w:color w:val="000000"/>
                <w:sz w:val="19"/>
                <w:szCs w:val="19"/>
                <w:u w:val="singl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student technology are utilized throughout the unit and utilized to support the lessons in the unit.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Technology utilized is appropriate/beneficial for unit, age, grade, and content.</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Teacher </w:t>
            </w:r>
            <w:r w:rsidDel="00000000" w:rsidR="00000000" w:rsidRPr="00000000">
              <w:rPr>
                <w:rFonts w:ascii="Times New Roman" w:cs="Times New Roman" w:eastAsia="Times New Roman" w:hAnsi="Times New Roman"/>
                <w:b w:val="1"/>
                <w:i w:val="0"/>
                <w:smallCaps w:val="0"/>
                <w:strike w:val="0"/>
                <w:color w:val="000000"/>
                <w:sz w:val="19"/>
                <w:szCs w:val="19"/>
                <w:u w:val="singl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student technology is utilized in the unit, used in a limited capacity, or added to demonstrate technology use and not to support the lessons in the unit. </w:t>
            </w:r>
          </w:p>
          <w:p w:rsidR="00000000" w:rsidDel="00000000" w:rsidP="00000000" w:rsidRDefault="00000000" w:rsidRPr="00000000" w14:paraId="000000A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Technology utilized is adequate/appropriate for lesson, age, grade, and content.</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No/limited technology is used throughout the lesson.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Technology utilized is inappropriate for lessons in unit, age, grade, and content.</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A7">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1.1</w:t>
            </w:r>
          </w:p>
          <w:p w:rsidR="00000000" w:rsidDel="00000000" w:rsidP="00000000" w:rsidRDefault="00000000" w:rsidRPr="00000000" w14:paraId="000000A8">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A9">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AA">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AB">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w:t>
            </w:r>
          </w:p>
        </w:tc>
        <w:tc>
          <w:tcPr/>
          <w:p w:rsidR="00000000" w:rsidDel="00000000" w:rsidP="00000000" w:rsidRDefault="00000000" w:rsidRPr="00000000" w14:paraId="000000A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Diversity and inclusion</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*Teacher identifies plans for diversity including factors such as: learning preferences and strategies, socioeconomic status, ethnicity, culture, educational background, geographical location, gender, etc. </w:t>
            </w:r>
          </w:p>
          <w:p w:rsidR="00000000" w:rsidDel="00000000" w:rsidP="00000000" w:rsidRDefault="00000000" w:rsidRPr="00000000" w14:paraId="000000AE">
            <w:pPr>
              <w:rPr>
                <w:rFonts w:ascii="Times New Roman" w:cs="Times New Roman" w:eastAsia="Times New Roman" w:hAnsi="Times New Roman"/>
                <w:sz w:val="19"/>
                <w:szCs w:val="19"/>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Unit incorporates culturally relevant pedagogies to meet the needs of the population, decrease bias and promote Diversity, Equity, and Inclusion (DEI) for all students is demonstrated in a variety of creative and innovative ways across the unit lessons. </w:t>
            </w:r>
          </w:p>
        </w:tc>
        <w:tc>
          <w:tcPr/>
          <w:p w:rsidR="00000000" w:rsidDel="00000000" w:rsidP="00000000" w:rsidRDefault="00000000" w:rsidRPr="00000000" w14:paraId="000000B0">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Unit incorporates culturally relevant pedagogies to meet the needs of the population, decrease bias and promote Diversity, Equity, and Inclusion (DEI) across the unit lessons.</w:t>
            </w: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Unit attempts to incorporates culturally relevant pedagogies to meet the needs of the population, decrease bias and promote Diversity, Equity, and Inclusion (DEI) across the unit lessons.</w:t>
            </w: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Unit does not attempt to incorporate culturally relevant pedagogies to meet the needs of the population, decrease bias and promote Diversity, Equity, and Inclusion (DEI) across the unit lessons.</w:t>
            </w:r>
            <w:r w:rsidDel="00000000" w:rsidR="00000000" w:rsidRPr="00000000">
              <w:rPr>
                <w:rtl w:val="0"/>
              </w:rPr>
            </w:r>
          </w:p>
        </w:tc>
      </w:tr>
      <w:tr>
        <w:trPr>
          <w:cantSplit w:val="0"/>
          <w:trHeight w:val="1853" w:hRule="atLeast"/>
          <w:tblHeader w:val="0"/>
        </w:trPr>
        <w:tc>
          <w:tcPr/>
          <w:p w:rsidR="00000000" w:rsidDel="00000000" w:rsidP="00000000" w:rsidRDefault="00000000" w:rsidRPr="00000000" w14:paraId="000000B3">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1.2</w:t>
            </w:r>
          </w:p>
          <w:p w:rsidR="00000000" w:rsidDel="00000000" w:rsidP="00000000" w:rsidRDefault="00000000" w:rsidRPr="00000000" w14:paraId="000000B4">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1.3</w:t>
            </w:r>
          </w:p>
        </w:tc>
        <w:tc>
          <w:tcPr/>
          <w:p w:rsidR="00000000" w:rsidDel="00000000" w:rsidP="00000000" w:rsidRDefault="00000000" w:rsidRPr="00000000" w14:paraId="000000B5">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6</w:t>
            </w:r>
          </w:p>
        </w:tc>
        <w:tc>
          <w:tcPr/>
          <w:p w:rsidR="00000000" w:rsidDel="00000000" w:rsidP="00000000" w:rsidRDefault="00000000" w:rsidRPr="00000000" w14:paraId="000000B6">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3,4</w:t>
            </w:r>
          </w:p>
        </w:tc>
        <w:tc>
          <w:tcPr/>
          <w:p w:rsidR="00000000" w:rsidDel="00000000" w:rsidP="00000000" w:rsidRDefault="00000000" w:rsidRPr="00000000" w14:paraId="000000B7">
            <w:pPr>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T/D</w:t>
            </w:r>
          </w:p>
        </w:tc>
        <w:tc>
          <w:tcPr/>
          <w:p w:rsidR="00000000" w:rsidDel="00000000" w:rsidP="00000000" w:rsidRDefault="00000000" w:rsidRPr="00000000" w14:paraId="000000B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Assessment</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*Formative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*Summative</w:t>
            </w:r>
          </w:p>
          <w:p w:rsidR="00000000" w:rsidDel="00000000" w:rsidP="00000000" w:rsidRDefault="00000000" w:rsidRPr="00000000" w14:paraId="000000B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*Self</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All three types of assessments are used creatively and correctly to engage, evaluate, and reflect on learning throughout the culmination of lessons throughout the unit to increase student success and plan for further instruction. </w:t>
            </w:r>
          </w:p>
        </w:tc>
        <w:tc>
          <w:tcPr/>
          <w:p w:rsidR="00000000" w:rsidDel="00000000" w:rsidP="00000000" w:rsidRDefault="00000000" w:rsidRPr="00000000" w14:paraId="000000BD">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All three types of assessments are utilized correctly to evaluate students throughout the culmination of lessons in unit to increase student success and plan further instruction. </w:t>
            </w: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Two or more types of assessments are utilized correctly to evaluate students throughout the culmination of lessons in the unit to increase student success instruction. </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No/limited/ inappropriate assessments are used.</w:t>
            </w:r>
          </w:p>
          <w:p w:rsidR="00000000" w:rsidDel="00000000" w:rsidP="00000000" w:rsidRDefault="00000000" w:rsidRPr="00000000" w14:paraId="000000C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Student does not demonstrate sufficient understanding of the critical attributes circled on the left.</w:t>
            </w:r>
            <w:r w:rsidDel="00000000" w:rsidR="00000000" w:rsidRPr="00000000">
              <w:rPr>
                <w:rtl w:val="0"/>
              </w:rPr>
            </w:r>
          </w:p>
        </w:tc>
      </w:tr>
      <w:tr>
        <w:trPr>
          <w:cantSplit w:val="0"/>
          <w:trHeight w:val="1440" w:hRule="atLeast"/>
          <w:tblHeader w:val="0"/>
        </w:trPr>
        <w:tc>
          <w:tcPr>
            <w:gridSpan w:val="10"/>
          </w:tcPr>
          <w:p w:rsidR="00000000" w:rsidDel="00000000" w:rsidP="00000000" w:rsidRDefault="00000000" w:rsidRPr="00000000" w14:paraId="000000C2">
            <w:pPr>
              <w:rPr>
                <w:sz w:val="18"/>
                <w:szCs w:val="18"/>
              </w:rPr>
            </w:pPr>
            <w:r w:rsidDel="00000000" w:rsidR="00000000" w:rsidRPr="00000000">
              <w:rPr>
                <w:sz w:val="18"/>
                <w:szCs w:val="18"/>
                <w:rtl w:val="0"/>
              </w:rPr>
              <w:t xml:space="preserve">Actions/Feedback:</w:t>
            </w:r>
          </w:p>
        </w:tc>
      </w:tr>
    </w:tbl>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rtl w:val="0"/>
        </w:rPr>
      </w:r>
    </w:p>
    <w:sectPr>
      <w:footerReference r:id="rId10" w:type="default"/>
      <w:pgSz w:h="12240" w:w="15840" w:orient="landscape"/>
      <w:pgMar w:bottom="720" w:top="100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Revised Fall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72.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