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spacing w:line="240" w:lineRule="auto"/>
        <w:jc w:val="center"/>
        <w:rPr>
          <w:rFonts w:ascii="Times New Roman" w:cs="Times New Roman" w:eastAsia="Times New Roman" w:hAnsi="Times New Roman"/>
          <w:b w:val="1"/>
          <w:smallCaps w:val="1"/>
          <w:sz w:val="48"/>
          <w:szCs w:val="48"/>
        </w:rPr>
      </w:pPr>
      <w:r w:rsidDel="00000000" w:rsidR="00000000" w:rsidRPr="00000000">
        <w:rPr>
          <w:rFonts w:ascii="Times New Roman" w:cs="Times New Roman" w:eastAsia="Times New Roman" w:hAnsi="Times New Roman"/>
          <w:b w:val="1"/>
          <w:smallCaps w:val="1"/>
          <w:sz w:val="48"/>
          <w:szCs w:val="48"/>
          <w:rtl w:val="0"/>
        </w:rPr>
        <w:t xml:space="preserve">Written Communication VALUE Rubric</w:t>
      </w:r>
      <w:r w:rsidDel="00000000" w:rsidR="00000000" w:rsidRPr="00000000">
        <w:drawing>
          <wp:anchor allowOverlap="1" behindDoc="0" distB="0" distT="0" distL="114300" distR="114300" hidden="0" layoutInCell="1" locked="0" relativeHeight="0" simplePos="0">
            <wp:simplePos x="0" y="0"/>
            <wp:positionH relativeFrom="column">
              <wp:posOffset>7082028</wp:posOffset>
            </wp:positionH>
            <wp:positionV relativeFrom="paragraph">
              <wp:posOffset>0</wp:posOffset>
            </wp:positionV>
            <wp:extent cx="895540" cy="469937"/>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895540" cy="469937"/>
                    </a:xfrm>
                    <a:prstGeom prst="rect"/>
                    <a:ln/>
                  </pic:spPr>
                </pic:pic>
              </a:graphicData>
            </a:graphic>
          </wp:anchor>
        </w:drawing>
      </w:r>
    </w:p>
    <w:p w:rsidR="00000000" w:rsidDel="00000000" w:rsidP="00000000" w:rsidRDefault="00000000" w:rsidRPr="00000000" w14:paraId="00000002">
      <w:pPr>
        <w:pageBreakBefore w:val="0"/>
        <w:spacing w:line="240" w:lineRule="auto"/>
        <w:jc w:val="center"/>
        <w:rPr>
          <w:rFonts w:ascii="Times New Roman" w:cs="Times New Roman" w:eastAsia="Times New Roman" w:hAnsi="Times New Roman"/>
          <w:i w:val="1"/>
          <w:sz w:val="20"/>
          <w:szCs w:val="20"/>
        </w:rPr>
      </w:pPr>
      <w:r w:rsidDel="00000000" w:rsidR="00000000" w:rsidRPr="00000000">
        <w:rPr>
          <w:rFonts w:ascii="Times New Roman" w:cs="Times New Roman" w:eastAsia="Times New Roman" w:hAnsi="Times New Roman"/>
          <w:i w:val="1"/>
          <w:sz w:val="20"/>
          <w:szCs w:val="20"/>
          <w:rtl w:val="0"/>
        </w:rPr>
        <w:t xml:space="preserve">for more information, please contact </w:t>
      </w:r>
      <w:hyperlink r:id="rId7">
        <w:r w:rsidDel="00000000" w:rsidR="00000000" w:rsidRPr="00000000">
          <w:rPr>
            <w:rFonts w:ascii="Times New Roman" w:cs="Times New Roman" w:eastAsia="Times New Roman" w:hAnsi="Times New Roman"/>
            <w:i w:val="1"/>
            <w:color w:val="1155cc"/>
            <w:sz w:val="20"/>
            <w:szCs w:val="20"/>
            <w:u w:val="single"/>
            <w:rtl w:val="0"/>
          </w:rPr>
          <w:t xml:space="preserve">value@aacu.org</w:t>
        </w:r>
      </w:hyperlink>
      <w:r w:rsidDel="00000000" w:rsidR="00000000" w:rsidRPr="00000000">
        <w:rPr>
          <w:rtl w:val="0"/>
        </w:rPr>
      </w:r>
    </w:p>
    <w:p w:rsidR="00000000" w:rsidDel="00000000" w:rsidP="00000000" w:rsidRDefault="00000000" w:rsidRPr="00000000" w14:paraId="00000003">
      <w:pPr>
        <w:pageBreakBefore w:val="0"/>
        <w:spacing w:line="240" w:lineRule="auto"/>
        <w:jc w:val="center"/>
        <w:rPr>
          <w:rFonts w:ascii="Times New Roman" w:cs="Times New Roman" w:eastAsia="Times New Roman" w:hAnsi="Times New Roman"/>
          <w:i w:val="1"/>
          <w:sz w:val="8"/>
          <w:szCs w:val="8"/>
        </w:rPr>
      </w:pPr>
      <w:r w:rsidDel="00000000" w:rsidR="00000000" w:rsidRPr="00000000">
        <w:rPr>
          <w:rtl w:val="0"/>
        </w:rPr>
      </w:r>
    </w:p>
    <w:p w:rsidR="00000000" w:rsidDel="00000000" w:rsidP="00000000" w:rsidRDefault="00000000" w:rsidRPr="00000000" w14:paraId="00000004">
      <w:pPr>
        <w:pageBreakBefore w:val="0"/>
        <w:spacing w:line="240" w:lineRule="auto"/>
        <w:rPr>
          <w:rFonts w:ascii="Times New Roman" w:cs="Times New Roman" w:eastAsia="Times New Roman" w:hAnsi="Times New Roman"/>
          <w:sz w:val="8"/>
          <w:szCs w:val="8"/>
        </w:rPr>
      </w:pPr>
      <w:r w:rsidDel="00000000" w:rsidR="00000000" w:rsidRPr="00000000">
        <w:rPr>
          <w:rFonts w:ascii="Times New Roman" w:cs="Times New Roman" w:eastAsia="Times New Roman" w:hAnsi="Times New Roman"/>
          <w:b w:val="1"/>
          <w:sz w:val="20"/>
          <w:szCs w:val="20"/>
          <w:rtl w:val="0"/>
        </w:rPr>
        <w:t xml:space="preserve">Definition:</w:t>
      </w:r>
      <w:r w:rsidDel="00000000" w:rsidR="00000000" w:rsidRPr="00000000">
        <w:rPr>
          <w:rFonts w:ascii="Times New Roman" w:cs="Times New Roman" w:eastAsia="Times New Roman" w:hAnsi="Times New Roman"/>
          <w:sz w:val="20"/>
          <w:szCs w:val="20"/>
          <w:rtl w:val="0"/>
        </w:rPr>
        <w:t xml:space="preserve">  Written communication is the development and expression of ideas in writing. Written communication involves learning to work in many genres and styles. It can involve working with many different writing technologies, and mixing texts, data, and images. Written communication abilities develop through iterative experiences across the curriculum.</w:t>
      </w:r>
      <w:r w:rsidDel="00000000" w:rsidR="00000000" w:rsidRPr="00000000">
        <w:rPr>
          <w:rtl w:val="0"/>
        </w:rPr>
      </w:r>
    </w:p>
    <w:p w:rsidR="00000000" w:rsidDel="00000000" w:rsidP="00000000" w:rsidRDefault="00000000" w:rsidRPr="00000000" w14:paraId="00000005">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Evaluators are encouraged to assign a zero to any work sample or collection of work that does not meet benchmark (cell one) level performance.</w:t>
      </w:r>
      <w:r w:rsidDel="00000000" w:rsidR="00000000" w:rsidRPr="00000000">
        <w:rPr>
          <w:rtl w:val="0"/>
        </w:rPr>
      </w:r>
    </w:p>
    <w:tbl>
      <w:tblPr>
        <w:tblStyle w:val="Table1"/>
        <w:tblW w:w="13875.0" w:type="dxa"/>
        <w:jc w:val="left"/>
        <w:tblInd w:w="-55.0" w:type="dxa"/>
        <w:tblLayout w:type="fixed"/>
        <w:tblLook w:val="0000"/>
      </w:tblPr>
      <w:tblGrid>
        <w:gridCol w:w="2295"/>
        <w:gridCol w:w="3525"/>
        <w:gridCol w:w="2895"/>
        <w:gridCol w:w="2640"/>
        <w:gridCol w:w="2520"/>
        <w:tblGridChange w:id="0">
          <w:tblGrid>
            <w:gridCol w:w="2295"/>
            <w:gridCol w:w="3525"/>
            <w:gridCol w:w="2895"/>
            <w:gridCol w:w="2640"/>
            <w:gridCol w:w="2520"/>
          </w:tblGrid>
        </w:tblGridChange>
      </w:tblGrid>
      <w:tr>
        <w:trPr>
          <w:cantSplit w:val="0"/>
          <w:trHeight w:val="444.9609375" w:hRule="atLeast"/>
          <w:tblHeader w:val="0"/>
        </w:trPr>
        <w:tc>
          <w:tcPr>
            <w:tcBorders>
              <w:top w:color="000000" w:space="0" w:sz="4" w:val="single"/>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06">
            <w:pPr>
              <w:pageBreakBefore w:val="0"/>
              <w:spacing w:line="240" w:lineRule="auto"/>
              <w:jc w:val="center"/>
              <w:rPr>
                <w:rFonts w:ascii="Times New Roman" w:cs="Times New Roman" w:eastAsia="Times New Roman" w:hAnsi="Times New Roman"/>
                <w:sz w:val="20"/>
                <w:szCs w:val="20"/>
              </w:rPr>
            </w:pPr>
            <w:r w:rsidDel="00000000" w:rsidR="00000000" w:rsidRPr="00000000">
              <w:rPr>
                <w:rtl w:val="0"/>
              </w:rPr>
            </w:r>
          </w:p>
        </w:tc>
        <w:tc>
          <w:tcPr>
            <w:tcBorders>
              <w:top w:color="000000" w:space="0" w:sz="4" w:val="single"/>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07">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Capstone</w:t>
            </w:r>
            <w:r w:rsidDel="00000000" w:rsidR="00000000" w:rsidRPr="00000000">
              <w:rPr>
                <w:rtl w:val="0"/>
              </w:rPr>
            </w:r>
          </w:p>
          <w:p w:rsidR="00000000" w:rsidDel="00000000" w:rsidP="00000000" w:rsidRDefault="00000000" w:rsidRPr="00000000" w14:paraId="00000008">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4</w:t>
            </w:r>
          </w:p>
        </w:tc>
        <w:tc>
          <w:tcPr>
            <w:gridSpan w:val="2"/>
            <w:tcBorders>
              <w:top w:color="000000" w:space="0" w:sz="4" w:val="single"/>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09">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Milestones</w:t>
            </w:r>
            <w:r w:rsidDel="00000000" w:rsidR="00000000" w:rsidRPr="00000000">
              <w:rPr>
                <w:rtl w:val="0"/>
              </w:rPr>
            </w:r>
          </w:p>
          <w:p w:rsidR="00000000" w:rsidDel="00000000" w:rsidP="00000000" w:rsidRDefault="00000000" w:rsidRPr="00000000" w14:paraId="0000000A">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3</w:t>
              <w:tab/>
              <w:tab/>
              <w:tab/>
              <w:tab/>
              <w:tab/>
              <w:t xml:space="preserve">2</w:t>
            </w:r>
          </w:p>
        </w:tc>
        <w:tc>
          <w:tcPr>
            <w:tcBorders>
              <w:top w:color="000000" w:space="0" w:sz="4" w:val="single"/>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00C">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Benchmark</w:t>
            </w:r>
            <w:r w:rsidDel="00000000" w:rsidR="00000000" w:rsidRPr="00000000">
              <w:rPr>
                <w:rtl w:val="0"/>
              </w:rPr>
            </w:r>
          </w:p>
          <w:p w:rsidR="00000000" w:rsidDel="00000000" w:rsidP="00000000" w:rsidRDefault="00000000" w:rsidRPr="00000000" w14:paraId="0000000D">
            <w:pPr>
              <w:pageBreakBefore w:val="0"/>
              <w:spacing w:line="240" w:lineRule="auto"/>
              <w:jc w:val="center"/>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1</w:t>
            </w:r>
          </w:p>
        </w:tc>
      </w:tr>
      <w:tr>
        <w:trPr>
          <w:cantSplit w:val="0"/>
          <w:trHeight w:val="815" w:hRule="atLeast"/>
          <w:tblHeader w:val="0"/>
        </w:trPr>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0E">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Context of and Purpose for Writing</w:t>
            </w:r>
            <w:r w:rsidDel="00000000" w:rsidR="00000000" w:rsidRPr="00000000">
              <w:rPr>
                <w:rtl w:val="0"/>
              </w:rPr>
            </w:r>
          </w:p>
          <w:p w:rsidR="00000000" w:rsidDel="00000000" w:rsidP="00000000" w:rsidRDefault="00000000" w:rsidRPr="00000000" w14:paraId="0000000F">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i w:val="1"/>
                <w:sz w:val="20"/>
                <w:szCs w:val="20"/>
                <w:rtl w:val="0"/>
              </w:rPr>
              <w:t xml:space="preserve">Includes considerations of audience, purpose, and the circumstances surrounding the writing task(s).</w:t>
            </w:r>
            <w:r w:rsidDel="00000000" w:rsidR="00000000" w:rsidRPr="00000000">
              <w:rPr>
                <w:rtl w:val="0"/>
              </w:rPr>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0">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a thorough understanding of context, audience, and purpose that is responsive to the assigned task(s) and focuses all elements of the work.</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1">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adequate consideration of context, audience, and purpose and a clear focus on the assigned task(s) (e.g., the task aligns with audience, purpose, and context).</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2">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awareness of context, audience, purpose, and to the assigned tasks(s) (e.g., begins to show awareness of audience's perceptions and assumptions).</w:t>
            </w:r>
          </w:p>
        </w:tc>
        <w:tc>
          <w:tcPr>
            <w:tcBorders>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013">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minimal attention to context, audience, purpose, and to the assigned tasks(s) (e.g., expectation of instructor or self as audience).</w:t>
            </w:r>
          </w:p>
        </w:tc>
      </w:tr>
      <w:tr>
        <w:trPr>
          <w:cantSplit w:val="0"/>
          <w:trHeight w:val="815" w:hRule="atLeast"/>
          <w:tblHeader w:val="0"/>
        </w:trPr>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4">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Content Development</w:t>
            </w:r>
            <w:r w:rsidDel="00000000" w:rsidR="00000000" w:rsidRPr="00000000">
              <w:rPr>
                <w:rtl w:val="0"/>
              </w:rPr>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5">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appropriate, relevant, and compelling content to illustrate mastery of the subject, conveying the writer's understanding, and shaping the whole work.</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6">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appropriate, relevant, and compelling content to explore ideas within the context of the discipline and shape the whole work.</w:t>
            </w:r>
          </w:p>
          <w:p w:rsidR="00000000" w:rsidDel="00000000" w:rsidP="00000000" w:rsidRDefault="00000000" w:rsidRPr="00000000" w14:paraId="00000017">
            <w:pPr>
              <w:pageBreakBefore w:val="0"/>
              <w:spacing w:line="240" w:lineRule="auto"/>
              <w:ind w:right="-90"/>
              <w:rPr>
                <w:rFonts w:ascii="Times New Roman" w:cs="Times New Roman" w:eastAsia="Times New Roman" w:hAnsi="Times New Roman"/>
                <w:sz w:val="20"/>
                <w:szCs w:val="20"/>
              </w:rPr>
            </w:pPr>
            <w:r w:rsidDel="00000000" w:rsidR="00000000" w:rsidRPr="00000000">
              <w:rPr>
                <w:rtl w:val="0"/>
              </w:rPr>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8">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appropriate and relevant content to develop and explore ideas through most of the work.</w:t>
            </w:r>
          </w:p>
        </w:tc>
        <w:tc>
          <w:tcPr>
            <w:tcBorders>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019">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appropriate and relevant content to develop simple ideas in some parts of the work.</w:t>
            </w:r>
          </w:p>
        </w:tc>
      </w:tr>
      <w:tr>
        <w:trPr>
          <w:cantSplit w:val="0"/>
          <w:trHeight w:val="1223" w:hRule="atLeast"/>
          <w:tblHeader w:val="0"/>
        </w:trPr>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A">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Genre and Disciplinary Conventions</w:t>
            </w:r>
            <w:r w:rsidDel="00000000" w:rsidR="00000000" w:rsidRPr="00000000">
              <w:rPr>
                <w:rtl w:val="0"/>
              </w:rPr>
            </w:r>
          </w:p>
          <w:p w:rsidR="00000000" w:rsidDel="00000000" w:rsidP="00000000" w:rsidRDefault="00000000" w:rsidRPr="00000000" w14:paraId="0000001B">
            <w:pPr>
              <w:pageBreakBefore w:val="0"/>
              <w:spacing w:line="240" w:lineRule="auto"/>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i w:val="1"/>
                <w:sz w:val="16"/>
                <w:szCs w:val="16"/>
                <w:rtl w:val="0"/>
              </w:rPr>
              <w:t xml:space="preserve">Formal and informal rules inherent in the expectations for writing in particular forms and/or academic fields (please see glossary).</w:t>
            </w:r>
            <w:r w:rsidDel="00000000" w:rsidR="00000000" w:rsidRPr="00000000">
              <w:rPr>
                <w:rtl w:val="0"/>
              </w:rPr>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C">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detailed attention to and successful execution of a wide range of conventions particular to a specific discipline and/or writing task (s) including  organization, content, presentation, formatting, and stylistic choices</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D">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consistent use of important conventions particular to a specific discipline and/or writing task(s), including organization, content, presentation, and stylistic choices</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1E">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Follows expectations appropriate to a specific discipline and/or writing task(s) for basic organization, content, and presentation</w:t>
            </w:r>
          </w:p>
        </w:tc>
        <w:tc>
          <w:tcPr>
            <w:tcBorders>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01F">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Attempts to use a consistent system for basic organization and presentation.</w:t>
            </w:r>
          </w:p>
        </w:tc>
      </w:tr>
      <w:tr>
        <w:trPr>
          <w:cantSplit w:val="0"/>
          <w:trHeight w:val="602" w:hRule="atLeast"/>
          <w:tblHeader w:val="0"/>
        </w:trPr>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20">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Sources and Evidence</w:t>
            </w:r>
            <w:r w:rsidDel="00000000" w:rsidR="00000000" w:rsidRPr="00000000">
              <w:rPr>
                <w:rtl w:val="0"/>
              </w:rPr>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21">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skillful use of high-quality, credible, relevant sources to develop ideas that are appropriate for the discipline and genre of the writing</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22">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consistent use of credible, relevant sources to support ideas that are situated within the discipline and genre of the writing.</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23">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an attempt to use credible and/or relevant sources to support ideas that are appropriate for the discipline and genre of the writing.</w:t>
            </w:r>
          </w:p>
        </w:tc>
        <w:tc>
          <w:tcPr>
            <w:tcBorders>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024">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Demonstrates an attempt to use sources to support ideas in the writing.</w:t>
            </w:r>
          </w:p>
        </w:tc>
      </w:tr>
      <w:tr>
        <w:trPr>
          <w:cantSplit w:val="0"/>
          <w:trHeight w:val="815" w:hRule="atLeast"/>
          <w:tblHeader w:val="0"/>
        </w:trPr>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25">
            <w:pPr>
              <w:pageBreakBefore w:val="0"/>
              <w:spacing w:line="24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b w:val="1"/>
                <w:sz w:val="20"/>
                <w:szCs w:val="20"/>
                <w:rtl w:val="0"/>
              </w:rPr>
              <w:t xml:space="preserve">Control of Syntax and Mechanics</w:t>
            </w:r>
            <w:r w:rsidDel="00000000" w:rsidR="00000000" w:rsidRPr="00000000">
              <w:rPr>
                <w:rtl w:val="0"/>
              </w:rPr>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26">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graceful language that skillfully communicates meaning to readers with clarity and fluency, and is virtually error-free.</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27">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straightforward language that generally conveys meaning to readers. The language in the portfolio has few errors.</w:t>
            </w:r>
          </w:p>
        </w:tc>
        <w:tc>
          <w:tcPr>
            <w:tcBorders>
              <w:left w:color="000000" w:space="0" w:sz="4" w:val="single"/>
              <w:bottom w:color="000000" w:space="0" w:sz="4" w:val="single"/>
            </w:tcBorders>
            <w:tcMar>
              <w:top w:w="55.0" w:type="dxa"/>
              <w:left w:w="55.0" w:type="dxa"/>
              <w:bottom w:w="55.0" w:type="dxa"/>
              <w:right w:w="55.0" w:type="dxa"/>
            </w:tcMar>
            <w:vAlign w:val="top"/>
          </w:tcPr>
          <w:p w:rsidR="00000000" w:rsidDel="00000000" w:rsidP="00000000" w:rsidRDefault="00000000" w:rsidRPr="00000000" w14:paraId="00000028">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language that generally conveys meaning to readers with clarity, although writing may include some errors.</w:t>
            </w:r>
          </w:p>
        </w:tc>
        <w:tc>
          <w:tcPr>
            <w:tcBorders>
              <w:left w:color="000000" w:space="0" w:sz="4" w:val="single"/>
              <w:bottom w:color="000000" w:space="0" w:sz="4" w:val="single"/>
              <w:right w:color="000000" w:space="0" w:sz="4" w:val="single"/>
            </w:tcBorders>
            <w:tcMar>
              <w:top w:w="55.0" w:type="dxa"/>
              <w:left w:w="55.0" w:type="dxa"/>
              <w:bottom w:w="55.0" w:type="dxa"/>
              <w:right w:w="55.0" w:type="dxa"/>
            </w:tcMar>
            <w:vAlign w:val="top"/>
          </w:tcPr>
          <w:p w:rsidR="00000000" w:rsidDel="00000000" w:rsidP="00000000" w:rsidRDefault="00000000" w:rsidRPr="00000000" w14:paraId="00000029">
            <w:pPr>
              <w:pageBreakBefore w:val="0"/>
              <w:spacing w:line="240" w:lineRule="auto"/>
              <w:ind w:right="-90"/>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Uses language that sometimes impedes meaning because of errors in usage.</w:t>
            </w:r>
          </w:p>
        </w:tc>
      </w:tr>
    </w:tbl>
    <w:p w:rsidR="00000000" w:rsidDel="00000000" w:rsidP="00000000" w:rsidRDefault="00000000" w:rsidRPr="00000000" w14:paraId="0000002A">
      <w:pPr>
        <w:widowControl w:val="0"/>
        <w:spacing w:line="240" w:lineRule="auto"/>
        <w:rPr/>
      </w:pPr>
      <w:r w:rsidDel="00000000" w:rsidR="00000000" w:rsidRPr="00000000">
        <w:rPr>
          <w:rtl w:val="0"/>
        </w:rPr>
      </w:r>
    </w:p>
    <w:sectPr>
      <w:pgSz w:h="12240" w:w="15840"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10.0" w:type="dxa"/>
        <w:bottom w:w="0.0" w:type="dxa"/>
        <w:right w:w="1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value@aacu.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